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538E27C"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FF14C9">
        <w:rPr>
          <w:b/>
          <w:noProof/>
          <w:sz w:val="24"/>
          <w:lang w:eastAsia="ja-JP"/>
        </w:rPr>
        <w:t>1</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B63F05">
        <w:rPr>
          <w:b/>
          <w:i/>
          <w:noProof/>
          <w:sz w:val="28"/>
        </w:rPr>
        <w:t>xxxxxx</w:t>
      </w:r>
    </w:p>
    <w:p w14:paraId="7A081629" w14:textId="7B929400"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w:t>
      </w:r>
      <w:r w:rsidR="00FF14C9" w:rsidRPr="00FF14C9">
        <w:rPr>
          <w:rFonts w:ascii="Arial" w:eastAsia="MS Mincho" w:hAnsi="Arial"/>
          <w:b/>
          <w:noProof/>
          <w:sz w:val="24"/>
          <w:vertAlign w:val="superscript"/>
          <w:lang w:val="en-GB"/>
        </w:rPr>
        <w:t>st</w:t>
      </w:r>
      <w:r w:rsidR="00FF14C9">
        <w:rPr>
          <w:rFonts w:ascii="Arial" w:eastAsia="MS Mincho" w:hAnsi="Arial"/>
          <w:b/>
          <w:noProof/>
          <w:sz w:val="24"/>
          <w:lang w:val="en-GB"/>
        </w:rPr>
        <w:t xml:space="preserve"> November</w:t>
      </w:r>
      <w:r w:rsidR="003B245F" w:rsidRPr="003B245F">
        <w:rPr>
          <w:rFonts w:ascii="Arial" w:eastAsia="MS Mincho" w:hAnsi="Arial"/>
          <w:b/>
          <w:noProof/>
          <w:sz w:val="24"/>
          <w:lang w:val="en-GB"/>
        </w:rPr>
        <w:t xml:space="preserve"> – </w:t>
      </w:r>
      <w:r w:rsidR="00FF14C9">
        <w:rPr>
          <w:rFonts w:ascii="Arial" w:eastAsia="MS Mincho" w:hAnsi="Arial"/>
          <w:b/>
          <w:noProof/>
          <w:sz w:val="24"/>
          <w:lang w:val="en-GB"/>
        </w:rPr>
        <w:t>12</w:t>
      </w:r>
      <w:r w:rsidR="00FF14C9" w:rsidRPr="00FF14C9">
        <w:rPr>
          <w:rFonts w:ascii="Arial" w:eastAsia="MS Mincho" w:hAnsi="Arial"/>
          <w:b/>
          <w:noProof/>
          <w:sz w:val="24"/>
          <w:vertAlign w:val="superscript"/>
          <w:lang w:val="en-GB"/>
        </w:rPr>
        <w:t>th</w:t>
      </w:r>
      <w:r w:rsidR="00FF14C9">
        <w:rPr>
          <w:rFonts w:ascii="Arial" w:eastAsia="MS Mincho" w:hAnsi="Arial"/>
          <w:b/>
          <w:noProof/>
          <w:sz w:val="24"/>
          <w:lang w:val="en-GB"/>
        </w:rPr>
        <w:t xml:space="preserve"> November</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18C7556F"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432946">
        <w:rPr>
          <w:rFonts w:ascii="Arial" w:eastAsia="MS Mincho" w:hAnsi="Arial"/>
          <w:sz w:val="24"/>
          <w:lang w:val="en-GB" w:eastAsia="en-US"/>
        </w:rPr>
        <w:t>UL MIMO</w:t>
      </w:r>
      <w:r w:rsidR="003B627B">
        <w:rPr>
          <w:rFonts w:ascii="Arial" w:eastAsia="MS Mincho" w:hAnsi="Arial"/>
          <w:sz w:val="24"/>
          <w:lang w:val="en-GB" w:eastAsia="en-US"/>
        </w:rPr>
        <w:t xml:space="preserve"> EVM</w:t>
      </w:r>
      <w:r w:rsidR="00FA7B48">
        <w:rPr>
          <w:rFonts w:ascii="Arial" w:eastAsia="MS Mincho" w:hAnsi="Arial"/>
          <w:sz w:val="24"/>
          <w:lang w:val="en-GB" w:eastAsia="en-US"/>
        </w:rPr>
        <w:t xml:space="preserve"> simulations </w:t>
      </w:r>
      <w:r w:rsidR="00370797">
        <w:rPr>
          <w:rFonts w:ascii="Arial" w:eastAsia="MS Mincho" w:hAnsi="Arial"/>
          <w:sz w:val="24"/>
          <w:lang w:val="en-GB" w:eastAsia="en-US"/>
        </w:rPr>
        <w:t>for</w:t>
      </w:r>
      <w:r w:rsidR="00370797" w:rsidRPr="00370797">
        <w:rPr>
          <w:rFonts w:ascii="Arial" w:eastAsia="MS Mincho" w:hAnsi="Arial"/>
          <w:sz w:val="24"/>
          <w:lang w:val="en-GB" w:eastAsia="en-US"/>
        </w:rPr>
        <w:t xml:space="preserve"> TE dual-receiver</w:t>
      </w:r>
      <w:r w:rsidR="00370797">
        <w:rPr>
          <w:rFonts w:ascii="Arial" w:eastAsia="MS Mincho" w:hAnsi="Arial"/>
          <w:sz w:val="24"/>
          <w:lang w:val="en-GB" w:eastAsia="en-US"/>
        </w:rPr>
        <w:t xml:space="preserve"> </w:t>
      </w:r>
      <w:r w:rsidR="00FA7B48">
        <w:rPr>
          <w:rFonts w:ascii="Arial" w:eastAsia="MS Mincho" w:hAnsi="Arial"/>
          <w:sz w:val="24"/>
          <w:lang w:val="en-GB" w:eastAsia="en-US"/>
        </w:rPr>
        <w:t xml:space="preserve">using the </w:t>
      </w:r>
      <w:r w:rsidR="00FA7B48" w:rsidRPr="00FA7B48">
        <w:rPr>
          <w:rFonts w:ascii="Arial" w:eastAsia="MS Mincho" w:hAnsi="Arial"/>
          <w:sz w:val="24"/>
          <w:lang w:val="en-GB" w:eastAsia="en-US"/>
        </w:rPr>
        <w:t>overlapping PUSCH DMRS configuration</w:t>
      </w:r>
      <w:r w:rsidR="00FA7B48">
        <w:rPr>
          <w:rFonts w:ascii="Arial" w:eastAsia="MS Mincho" w:hAnsi="Arial"/>
          <w:sz w:val="24"/>
          <w:lang w:val="en-GB" w:eastAsia="en-US"/>
        </w:rPr>
        <w:t xml:space="preserve"> </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4BAEA8BA"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AA2AC3">
        <w:rPr>
          <w:rFonts w:ascii="Arial" w:eastAsiaTheme="minorEastAsia" w:hAnsi="Arial"/>
          <w:sz w:val="24"/>
          <w:lang w:val="en-GB"/>
        </w:rPr>
        <w:t>9</w:t>
      </w:r>
      <w:r w:rsidR="000D06E7">
        <w:rPr>
          <w:rFonts w:ascii="Arial" w:eastAsiaTheme="minorEastAsia" w:hAnsi="Arial"/>
          <w:sz w:val="24"/>
          <w:lang w:val="en-GB"/>
        </w:rPr>
        <w:t>.</w:t>
      </w:r>
      <w:r w:rsidR="00A07A45">
        <w:rPr>
          <w:rFonts w:ascii="Arial" w:eastAsiaTheme="minorEastAsia" w:hAnsi="Arial"/>
          <w:sz w:val="24"/>
          <w:lang w:val="en-GB"/>
        </w:rPr>
        <w:t>1</w:t>
      </w:r>
      <w:r w:rsidR="000D06E7">
        <w:rPr>
          <w:rFonts w:ascii="Arial" w:eastAsiaTheme="minorEastAsia" w:hAnsi="Arial"/>
          <w:sz w:val="24"/>
          <w:lang w:val="en-GB"/>
        </w:rPr>
        <w:t>.</w:t>
      </w:r>
      <w:r w:rsidR="00AA2AC3">
        <w:rPr>
          <w:rFonts w:ascii="Arial" w:eastAsiaTheme="minorEastAsia" w:hAnsi="Arial"/>
          <w:sz w:val="24"/>
          <w:lang w:val="en-GB"/>
        </w:rPr>
        <w:t>1</w:t>
      </w:r>
      <w:r w:rsidR="000D06E7">
        <w:rPr>
          <w:rFonts w:ascii="Arial" w:eastAsiaTheme="minorEastAsia" w:hAnsi="Arial"/>
          <w:sz w:val="24"/>
          <w:lang w:val="en-GB"/>
        </w:rPr>
        <w:t>.</w:t>
      </w:r>
      <w:r w:rsidR="00A07A45">
        <w:rPr>
          <w:rFonts w:ascii="Arial" w:eastAsiaTheme="minorEastAsia" w:hAnsi="Arial"/>
          <w:sz w:val="24"/>
          <w:lang w:val="en-GB"/>
        </w:rPr>
        <w:t>2</w:t>
      </w:r>
      <w:r w:rsidR="000D06E7">
        <w:rPr>
          <w:rFonts w:ascii="Arial" w:eastAsiaTheme="minorEastAsia" w:hAnsi="Arial"/>
          <w:sz w:val="24"/>
          <w:lang w:val="en-GB"/>
        </w:rPr>
        <w:t>.</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AA2AC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28756C" w:rsidRDefault="00A75095" w:rsidP="00E7577D">
      <w:pPr>
        <w:pStyle w:val="tdoc-header"/>
        <w:overflowPunct w:val="0"/>
        <w:autoSpaceDE w:val="0"/>
        <w:autoSpaceDN w:val="0"/>
        <w:adjustRightInd w:val="0"/>
        <w:spacing w:after="180"/>
        <w:textAlignment w:val="baseline"/>
        <w:outlineLvl w:val="0"/>
        <w:rPr>
          <w:b/>
          <w:noProof w:val="0"/>
          <w:lang w:eastAsia="ja-JP"/>
        </w:rPr>
      </w:pPr>
      <w:r w:rsidRPr="0028756C">
        <w:rPr>
          <w:b/>
          <w:noProof w:val="0"/>
        </w:rPr>
        <w:t>1.</w:t>
      </w:r>
      <w:r w:rsidRPr="0028756C">
        <w:rPr>
          <w:b/>
          <w:noProof w:val="0"/>
        </w:rPr>
        <w:tab/>
        <w:t>Introduction</w:t>
      </w:r>
    </w:p>
    <w:p w14:paraId="0E34649F" w14:textId="4C95B32C" w:rsidR="003B627B" w:rsidRDefault="003B627B" w:rsidP="00612EC6">
      <w:pPr>
        <w:spacing w:before="120" w:after="120"/>
        <w:ind w:firstLine="284"/>
        <w:jc w:val="both"/>
        <w:rPr>
          <w:rFonts w:eastAsia="MS Mincho"/>
          <w:lang w:val="en-GB"/>
        </w:rPr>
      </w:pPr>
      <w:r>
        <w:rPr>
          <w:rFonts w:eastAsia="MS Mincho"/>
          <w:lang w:val="en-GB"/>
        </w:rPr>
        <w:t>In contribution [1] w</w:t>
      </w:r>
      <w:r w:rsidR="00614F0B">
        <w:rPr>
          <w:rFonts w:eastAsia="MS Mincho"/>
          <w:lang w:val="en-GB"/>
        </w:rPr>
        <w:t>as</w:t>
      </w:r>
      <w:r>
        <w:rPr>
          <w:rFonts w:eastAsia="MS Mincho"/>
          <w:lang w:val="en-GB"/>
        </w:rPr>
        <w:t xml:space="preserve"> shown EVM UL MIMO calculations based on </w:t>
      </w:r>
      <w:r w:rsidRPr="003B627B">
        <w:rPr>
          <w:rFonts w:eastAsia="MS Mincho"/>
          <w:lang w:val="en-GB"/>
        </w:rPr>
        <w:t xml:space="preserve">the </w:t>
      </w:r>
      <w:r w:rsidR="00370797">
        <w:rPr>
          <w:rFonts w:eastAsia="MS Mincho"/>
          <w:lang w:val="en-GB"/>
        </w:rPr>
        <w:t xml:space="preserve">TE </w:t>
      </w:r>
      <w:r w:rsidRPr="003B627B">
        <w:rPr>
          <w:rFonts w:eastAsia="MS Mincho"/>
          <w:lang w:val="en-GB"/>
        </w:rPr>
        <w:t>dual</w:t>
      </w:r>
      <w:r w:rsidR="00370797">
        <w:rPr>
          <w:rFonts w:eastAsia="MS Mincho"/>
          <w:lang w:val="en-GB"/>
        </w:rPr>
        <w:t>-</w:t>
      </w:r>
      <w:r w:rsidRPr="003B627B">
        <w:rPr>
          <w:rFonts w:eastAsia="MS Mincho"/>
          <w:lang w:val="en-GB"/>
        </w:rPr>
        <w:t xml:space="preserve">receiver architecture </w:t>
      </w:r>
      <w:r>
        <w:rPr>
          <w:rFonts w:eastAsia="MS Mincho"/>
          <w:lang w:val="en-GB"/>
        </w:rPr>
        <w:t>using “</w:t>
      </w:r>
      <w:r w:rsidR="00DE3F8D">
        <w:rPr>
          <w:rFonts w:eastAsia="MS Mincho"/>
          <w:lang w:val="en-GB"/>
        </w:rPr>
        <w:t>M</w:t>
      </w:r>
      <w:r>
        <w:rPr>
          <w:rFonts w:eastAsia="MS Mincho"/>
          <w:lang w:val="en-GB"/>
        </w:rPr>
        <w:t>ethod 1” with</w:t>
      </w:r>
      <w:r w:rsidRPr="003B627B">
        <w:rPr>
          <w:rFonts w:eastAsia="MS Mincho"/>
          <w:lang w:val="en-GB"/>
        </w:rPr>
        <w:t xml:space="preserve"> LSE channel estimation over DMRS symbols</w:t>
      </w:r>
      <w:r>
        <w:rPr>
          <w:rFonts w:eastAsia="MS Mincho"/>
          <w:lang w:val="en-GB"/>
        </w:rPr>
        <w:t xml:space="preserve">. These simulations were performed using a </w:t>
      </w:r>
      <w:r w:rsidRPr="003B627B">
        <w:rPr>
          <w:rFonts w:eastAsia="MS Mincho"/>
          <w:lang w:val="en-GB"/>
        </w:rPr>
        <w:t>non-overlapping PUSCH DMRS configuration</w:t>
      </w:r>
      <w:r>
        <w:rPr>
          <w:rFonts w:eastAsia="MS Mincho"/>
          <w:lang w:val="en-GB"/>
        </w:rPr>
        <w:t>.</w:t>
      </w:r>
      <w:r w:rsidRPr="003B627B">
        <w:rPr>
          <w:rFonts w:eastAsia="MS Mincho"/>
          <w:lang w:val="en-GB"/>
        </w:rPr>
        <w:t xml:space="preserve"> </w:t>
      </w:r>
    </w:p>
    <w:p w14:paraId="496A3813" w14:textId="38F53564" w:rsidR="009973EA" w:rsidRPr="0028756C" w:rsidRDefault="003B627B" w:rsidP="00612EC6">
      <w:pPr>
        <w:spacing w:before="120" w:after="120"/>
        <w:ind w:firstLine="284"/>
        <w:jc w:val="both"/>
        <w:rPr>
          <w:rFonts w:eastAsia="MS Mincho"/>
          <w:lang w:val="en-GB"/>
        </w:rPr>
      </w:pPr>
      <w:r>
        <w:rPr>
          <w:rFonts w:eastAsia="MS Mincho"/>
          <w:lang w:val="en-GB"/>
        </w:rPr>
        <w:t>T</w:t>
      </w:r>
      <w:r w:rsidR="009973EA" w:rsidRPr="0028756C">
        <w:rPr>
          <w:rFonts w:eastAsia="MS Mincho"/>
          <w:lang w:val="en-GB"/>
        </w:rPr>
        <w:t xml:space="preserve">his </w:t>
      </w:r>
      <w:r w:rsidR="00FA7B48">
        <w:rPr>
          <w:rFonts w:eastAsia="MS Mincho"/>
          <w:lang w:val="en-GB"/>
        </w:rPr>
        <w:t xml:space="preserve">present </w:t>
      </w:r>
      <w:r w:rsidR="009973EA" w:rsidRPr="0028756C">
        <w:rPr>
          <w:rFonts w:eastAsia="MS Mincho"/>
          <w:lang w:val="en-GB"/>
        </w:rPr>
        <w:t xml:space="preserve">contribution </w:t>
      </w:r>
      <w:r>
        <w:rPr>
          <w:rFonts w:eastAsia="MS Mincho"/>
          <w:lang w:val="en-GB"/>
        </w:rPr>
        <w:t xml:space="preserve">shows simulations using the </w:t>
      </w:r>
      <w:bookmarkStart w:id="0" w:name="_Hlk85654166"/>
      <w:r w:rsidRPr="003B627B">
        <w:rPr>
          <w:rFonts w:eastAsia="MS Mincho"/>
          <w:lang w:val="en-GB"/>
        </w:rPr>
        <w:t xml:space="preserve">overlapping PUSCH DMRS configuration </w:t>
      </w:r>
      <w:bookmarkEnd w:id="0"/>
      <w:r>
        <w:rPr>
          <w:rFonts w:eastAsia="MS Mincho"/>
          <w:lang w:val="en-GB"/>
        </w:rPr>
        <w:t>as specified for UE conformance in [2], [3], [4]</w:t>
      </w:r>
      <w:r w:rsidR="002F1594">
        <w:rPr>
          <w:rFonts w:eastAsia="MS Mincho"/>
          <w:lang w:val="en-GB"/>
        </w:rPr>
        <w:t xml:space="preserve"> and compare them with equivalent simulations done using </w:t>
      </w:r>
      <w:proofErr w:type="gramStart"/>
      <w:r w:rsidR="002F1594">
        <w:rPr>
          <w:rFonts w:eastAsia="MS Mincho"/>
          <w:lang w:val="en-GB"/>
        </w:rPr>
        <w:t>an</w:t>
      </w:r>
      <w:proofErr w:type="gramEnd"/>
      <w:r w:rsidR="002F1594">
        <w:rPr>
          <w:rFonts w:eastAsia="MS Mincho"/>
          <w:lang w:val="en-GB"/>
        </w:rPr>
        <w:t xml:space="preserve"> non-</w:t>
      </w:r>
      <w:r w:rsidR="002F1594" w:rsidRPr="002F1594">
        <w:rPr>
          <w:rFonts w:eastAsia="MS Mincho"/>
          <w:lang w:val="en-GB"/>
        </w:rPr>
        <w:t>overlapping PUSCH DMRS configuration</w:t>
      </w:r>
      <w:r w:rsidR="00FA7B48">
        <w:rPr>
          <w:rFonts w:eastAsia="MS Mincho"/>
          <w:lang w:val="en-GB"/>
        </w:rPr>
        <w:t xml:space="preserve"> in [1]</w:t>
      </w:r>
      <w:r>
        <w:rPr>
          <w:rFonts w:eastAsia="MS Mincho"/>
          <w:lang w:val="en-GB"/>
        </w:rPr>
        <w:t>.</w:t>
      </w:r>
    </w:p>
    <w:p w14:paraId="7A081631" w14:textId="77777777" w:rsidR="005F2974" w:rsidRPr="0028756C" w:rsidRDefault="00AA2AC3"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28756C" w:rsidRDefault="009C5607" w:rsidP="009C5607">
      <w:pPr>
        <w:pStyle w:val="tdoc-header"/>
        <w:overflowPunct w:val="0"/>
        <w:autoSpaceDE w:val="0"/>
        <w:autoSpaceDN w:val="0"/>
        <w:adjustRightInd w:val="0"/>
        <w:spacing w:after="180"/>
        <w:textAlignment w:val="baseline"/>
        <w:outlineLvl w:val="0"/>
        <w:rPr>
          <w:b/>
          <w:noProof w:val="0"/>
          <w:lang w:eastAsia="ja-JP"/>
        </w:rPr>
      </w:pPr>
      <w:r w:rsidRPr="0028756C">
        <w:rPr>
          <w:b/>
          <w:noProof w:val="0"/>
          <w:lang w:eastAsia="ja-JP"/>
        </w:rPr>
        <w:t>2</w:t>
      </w:r>
      <w:r w:rsidRPr="0028756C">
        <w:rPr>
          <w:b/>
          <w:noProof w:val="0"/>
        </w:rPr>
        <w:t>.</w:t>
      </w:r>
      <w:r w:rsidRPr="0028756C">
        <w:rPr>
          <w:b/>
          <w:noProof w:val="0"/>
        </w:rPr>
        <w:tab/>
      </w:r>
      <w:r w:rsidRPr="0028756C">
        <w:rPr>
          <w:b/>
          <w:noProof w:val="0"/>
          <w:lang w:eastAsia="ja-JP"/>
        </w:rPr>
        <w:t>Discussion</w:t>
      </w:r>
    </w:p>
    <w:p w14:paraId="22F759C5" w14:textId="32FA0FB5" w:rsidR="009D00EC" w:rsidRPr="002F6F73" w:rsidRDefault="00DE3F8D" w:rsidP="00DE3F8D">
      <w:pPr>
        <w:spacing w:before="120" w:after="120"/>
        <w:ind w:firstLine="284"/>
        <w:jc w:val="both"/>
        <w:rPr>
          <w:rFonts w:eastAsia="MS Mincho"/>
        </w:rPr>
      </w:pPr>
      <w:r w:rsidRPr="002F6F73">
        <w:rPr>
          <w:rFonts w:eastAsia="MS Mincho"/>
        </w:rPr>
        <w:t>F</w:t>
      </w:r>
      <w:r w:rsidR="000C074E" w:rsidRPr="002F6F73">
        <w:rPr>
          <w:rFonts w:eastAsia="MS Mincho"/>
        </w:rPr>
        <w:t>or UE conformance [</w:t>
      </w:r>
      <w:r w:rsidR="0053129F" w:rsidRPr="002F6F73">
        <w:rPr>
          <w:rFonts w:eastAsia="MS Mincho"/>
        </w:rPr>
        <w:t>2</w:t>
      </w:r>
      <w:r w:rsidR="000C074E" w:rsidRPr="002F6F73">
        <w:rPr>
          <w:rFonts w:eastAsia="MS Mincho"/>
        </w:rPr>
        <w:t xml:space="preserve">], </w:t>
      </w:r>
      <w:r w:rsidR="00A871B4" w:rsidRPr="002F6F73">
        <w:rPr>
          <w:rFonts w:eastAsia="MS Mincho"/>
        </w:rPr>
        <w:t xml:space="preserve">it is indicated </w:t>
      </w:r>
      <w:r w:rsidRPr="002F6F73">
        <w:rPr>
          <w:rFonts w:eastAsia="MS Mincho"/>
        </w:rPr>
        <w:t xml:space="preserve">the use of antenna port(s) = “000” in Table 4.3.6.1.1.2-1 </w:t>
      </w:r>
      <w:r w:rsidR="00A871B4" w:rsidRPr="002F6F73">
        <w:rPr>
          <w:rFonts w:eastAsia="MS Mincho"/>
        </w:rPr>
        <w:t xml:space="preserve">for </w:t>
      </w:r>
      <w:r w:rsidR="00311ADA" w:rsidRPr="002F6F73">
        <w:rPr>
          <w:rFonts w:eastAsia="MS Mincho"/>
        </w:rPr>
        <w:t>the physical layer parameters for DCI format 0_1, correspond</w:t>
      </w:r>
      <w:r w:rsidR="00470E7E" w:rsidRPr="002F6F73">
        <w:rPr>
          <w:rFonts w:eastAsia="MS Mincho"/>
        </w:rPr>
        <w:t>ing</w:t>
      </w:r>
      <w:r w:rsidR="00311ADA" w:rsidRPr="002F6F73">
        <w:rPr>
          <w:rFonts w:eastAsia="MS Mincho"/>
        </w:rPr>
        <w:t xml:space="preserve"> to </w:t>
      </w:r>
      <w:r w:rsidRPr="002F6F73">
        <w:rPr>
          <w:rFonts w:eastAsia="MS Mincho"/>
        </w:rPr>
        <w:t>V</w:t>
      </w:r>
      <w:r w:rsidR="00311ADA" w:rsidRPr="002F6F73">
        <w:rPr>
          <w:rFonts w:eastAsia="MS Mincho"/>
        </w:rPr>
        <w:t>alue</w:t>
      </w:r>
      <w:r w:rsidR="00470E7E" w:rsidRPr="002F6F73">
        <w:rPr>
          <w:rFonts w:eastAsia="MS Mincho"/>
        </w:rPr>
        <w:t xml:space="preserve"> = </w:t>
      </w:r>
      <w:r w:rsidR="00311ADA" w:rsidRPr="002F6F73">
        <w:rPr>
          <w:rFonts w:eastAsia="MS Mincho"/>
        </w:rPr>
        <w:t xml:space="preserve">0 </w:t>
      </w:r>
      <w:r w:rsidR="00470E7E" w:rsidRPr="002F6F73">
        <w:rPr>
          <w:rFonts w:eastAsia="MS Mincho"/>
        </w:rPr>
        <w:t>in</w:t>
      </w:r>
      <w:r w:rsidR="00311ADA" w:rsidRPr="002F6F73">
        <w:rPr>
          <w:rFonts w:eastAsia="MS Mincho"/>
        </w:rPr>
        <w:t xml:space="preserve"> Table 7.3.1.1.2-9 of [</w:t>
      </w:r>
      <w:r w:rsidR="0053129F" w:rsidRPr="002F6F73">
        <w:rPr>
          <w:rFonts w:eastAsia="MS Mincho"/>
        </w:rPr>
        <w:t>3</w:t>
      </w:r>
      <w:r w:rsidR="00311ADA" w:rsidRPr="002F6F73">
        <w:rPr>
          <w:rFonts w:eastAsia="MS Mincho"/>
        </w:rPr>
        <w:t xml:space="preserve">] </w:t>
      </w:r>
      <w:r w:rsidR="00470E7E" w:rsidRPr="002F6F73">
        <w:rPr>
          <w:rFonts w:eastAsia="MS Mincho"/>
        </w:rPr>
        <w:t xml:space="preserve">and </w:t>
      </w:r>
      <w:r w:rsidRPr="002F6F73">
        <w:rPr>
          <w:rFonts w:eastAsia="MS Mincho"/>
        </w:rPr>
        <w:t>then</w:t>
      </w:r>
      <w:r w:rsidR="00470E7E" w:rsidRPr="002F6F73">
        <w:rPr>
          <w:rFonts w:eastAsia="MS Mincho"/>
        </w:rPr>
        <w:t xml:space="preserve"> to</w:t>
      </w:r>
      <w:r w:rsidR="00311ADA" w:rsidRPr="002F6F73">
        <w:rPr>
          <w:rFonts w:eastAsia="MS Mincho"/>
        </w:rPr>
        <w:t xml:space="preserve"> DMRS ports = {0, 1}</w:t>
      </w:r>
      <w:r w:rsidRPr="002F6F73">
        <w:rPr>
          <w:rFonts w:eastAsia="MS Mincho"/>
        </w:rPr>
        <w:t>.</w:t>
      </w:r>
      <w:r w:rsidR="00311ADA" w:rsidRPr="002F6F73">
        <w:rPr>
          <w:rFonts w:eastAsia="MS Mincho"/>
        </w:rPr>
        <w:t xml:space="preserve"> </w:t>
      </w:r>
      <w:r w:rsidRPr="002F6F73">
        <w:rPr>
          <w:rFonts w:eastAsia="MS Mincho"/>
        </w:rPr>
        <w:t xml:space="preserve">Therefore, </w:t>
      </w:r>
      <w:r w:rsidR="00470E7E" w:rsidRPr="002F6F73">
        <w:rPr>
          <w:rFonts w:eastAsia="MS Mincho"/>
        </w:rPr>
        <w:t xml:space="preserve">the allocation that should be used for </w:t>
      </w:r>
      <w:r w:rsidRPr="002F6F73">
        <w:rPr>
          <w:rFonts w:eastAsia="MS Mincho"/>
        </w:rPr>
        <w:t xml:space="preserve">UE conformance </w:t>
      </w:r>
      <w:r w:rsidR="00470E7E" w:rsidRPr="002F6F73">
        <w:rPr>
          <w:rFonts w:eastAsia="MS Mincho"/>
        </w:rPr>
        <w:t>testing is a</w:t>
      </w:r>
      <w:r w:rsidR="00AA2AC3">
        <w:rPr>
          <w:rFonts w:eastAsia="MS Mincho"/>
        </w:rPr>
        <w:t>n</w:t>
      </w:r>
      <w:bookmarkStart w:id="1" w:name="_GoBack"/>
      <w:bookmarkEnd w:id="1"/>
      <w:r w:rsidR="00311ADA" w:rsidRPr="002F6F73">
        <w:rPr>
          <w:rFonts w:eastAsia="MS Mincho"/>
        </w:rPr>
        <w:t xml:space="preserve"> overlapping PUSCH DMRS configuration </w:t>
      </w:r>
      <w:r w:rsidR="00470E7E" w:rsidRPr="002F6F73">
        <w:rPr>
          <w:rFonts w:eastAsia="MS Mincho"/>
        </w:rPr>
        <w:t>as described in</w:t>
      </w:r>
      <w:r w:rsidR="00311ADA" w:rsidRPr="002F6F73">
        <w:rPr>
          <w:rFonts w:eastAsia="MS Mincho"/>
        </w:rPr>
        <w:t xml:space="preserve"> Table 6.4.1.1.3-1 of [</w:t>
      </w:r>
      <w:r w:rsidR="0053129F" w:rsidRPr="002F6F73">
        <w:rPr>
          <w:rFonts w:eastAsia="MS Mincho"/>
        </w:rPr>
        <w:t>4</w:t>
      </w:r>
      <w:r w:rsidR="00311ADA" w:rsidRPr="002F6F73">
        <w:rPr>
          <w:rFonts w:eastAsia="MS Mincho"/>
        </w:rPr>
        <w:t>].</w:t>
      </w:r>
    </w:p>
    <w:p w14:paraId="75CAB59F" w14:textId="3C81109A" w:rsidR="00DE3F8D" w:rsidRPr="002F6F73" w:rsidRDefault="00DE3F8D" w:rsidP="00DE3F8D">
      <w:pPr>
        <w:spacing w:before="120" w:after="120"/>
        <w:ind w:firstLine="284"/>
        <w:jc w:val="both"/>
        <w:rPr>
          <w:rFonts w:eastAsia="MS Mincho"/>
        </w:rPr>
      </w:pPr>
      <w:r w:rsidRPr="002F6F73">
        <w:rPr>
          <w:rFonts w:eastAsia="MS Mincho"/>
        </w:rPr>
        <w:t xml:space="preserve">Simulations performed using the overlapping DMRS allocation shown in Figure 2 present good agreement with simulations performed for the non-overlapping DMRS allocation presented in [1] and shown in Figure 1 below. The equivalent SNR over-estimation is under ±1dB corresponding to multiplying the </w:t>
      </w:r>
      <w:r w:rsidR="00614F0B">
        <w:rPr>
          <w:rFonts w:eastAsia="MS Mincho"/>
        </w:rPr>
        <w:t xml:space="preserve">actual </w:t>
      </w:r>
      <w:r w:rsidRPr="002F6F73">
        <w:rPr>
          <w:rFonts w:eastAsia="MS Mincho"/>
        </w:rPr>
        <w:t>EVM in % by a f</w:t>
      </w:r>
      <w:r w:rsidR="00614F0B">
        <w:rPr>
          <w:rFonts w:eastAsia="MS Mincho"/>
        </w:rPr>
        <w:t>actor</w:t>
      </w:r>
      <w:r w:rsidRPr="002F6F73">
        <w:rPr>
          <w:rFonts w:eastAsia="MS Mincho"/>
        </w:rPr>
        <w:t xml:space="preserve"> between 0.9 and 1.1.</w:t>
      </w:r>
    </w:p>
    <w:p w14:paraId="5BB25320" w14:textId="77777777" w:rsidR="00DE3F8D" w:rsidRPr="0028756C" w:rsidRDefault="00DE3F8D" w:rsidP="00DE3F8D">
      <w:pPr>
        <w:spacing w:before="120" w:after="120"/>
        <w:jc w:val="both"/>
        <w:rPr>
          <w:b/>
        </w:rPr>
      </w:pPr>
      <w:r w:rsidRPr="0028756C">
        <w:rPr>
          <w:b/>
          <w:bCs/>
        </w:rPr>
        <w:t>Observation 1</w:t>
      </w:r>
      <w:r w:rsidRPr="0028756C">
        <w:rPr>
          <w:b/>
        </w:rPr>
        <w:t xml:space="preserve">: </w:t>
      </w:r>
      <w:r>
        <w:rPr>
          <w:b/>
        </w:rPr>
        <w:t xml:space="preserve">The </w:t>
      </w:r>
      <w:r w:rsidRPr="00FA7B48">
        <w:rPr>
          <w:b/>
        </w:rPr>
        <w:t>simulations using the overlapping PUSCH DMRS configuration as specified for UE conformance</w:t>
      </w:r>
      <w:r>
        <w:rPr>
          <w:b/>
        </w:rPr>
        <w:t xml:space="preserve"> show similar performance as for the non-overlapping case</w:t>
      </w:r>
      <w:r w:rsidRPr="0028756C">
        <w:rPr>
          <w:b/>
        </w:rPr>
        <w:t>.</w:t>
      </w:r>
    </w:p>
    <w:tbl>
      <w:tblPr>
        <w:tblStyle w:val="TableGrid"/>
        <w:tblW w:w="102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5286"/>
      </w:tblGrid>
      <w:tr w:rsidR="00FA7B48" w14:paraId="5A40FC01" w14:textId="77777777" w:rsidTr="00487751">
        <w:tc>
          <w:tcPr>
            <w:tcW w:w="4968" w:type="dxa"/>
          </w:tcPr>
          <w:p w14:paraId="4452D993" w14:textId="4029A73A" w:rsidR="00FA7B48" w:rsidRDefault="00FA7B48" w:rsidP="00614F0B">
            <w:pPr>
              <w:spacing w:before="120" w:after="120"/>
              <w:rPr>
                <w:rFonts w:eastAsia="MS Mincho"/>
              </w:rPr>
            </w:pPr>
            <w:r>
              <w:rPr>
                <w:noProof/>
              </w:rPr>
              <w:drawing>
                <wp:inline distT="0" distB="0" distL="0" distR="0" wp14:anchorId="19013B9B" wp14:editId="5F58737C">
                  <wp:extent cx="3017520" cy="2071710"/>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2071710"/>
                          </a:xfrm>
                          <a:prstGeom prst="rect">
                            <a:avLst/>
                          </a:prstGeom>
                          <a:noFill/>
                        </pic:spPr>
                      </pic:pic>
                    </a:graphicData>
                  </a:graphic>
                </wp:inline>
              </w:drawing>
            </w:r>
          </w:p>
        </w:tc>
        <w:tc>
          <w:tcPr>
            <w:tcW w:w="5286" w:type="dxa"/>
          </w:tcPr>
          <w:p w14:paraId="3971B531" w14:textId="77777777" w:rsidR="00FA7B48" w:rsidRDefault="00FA7B48" w:rsidP="00614F0B">
            <w:pPr>
              <w:spacing w:before="120" w:after="120"/>
              <w:rPr>
                <w:rFonts w:eastAsia="MS Mincho"/>
              </w:rPr>
            </w:pPr>
            <w:r>
              <w:rPr>
                <w:rFonts w:eastAsia="MS Mincho"/>
                <w:noProof/>
              </w:rPr>
              <w:drawing>
                <wp:inline distT="0" distB="0" distL="0" distR="0" wp14:anchorId="19A5CD92" wp14:editId="54D3D6AD">
                  <wp:extent cx="3211200" cy="2095200"/>
                  <wp:effectExtent l="0" t="0" r="825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1200" cy="2095200"/>
                          </a:xfrm>
                          <a:prstGeom prst="rect">
                            <a:avLst/>
                          </a:prstGeom>
                          <a:noFill/>
                        </pic:spPr>
                      </pic:pic>
                    </a:graphicData>
                  </a:graphic>
                </wp:inline>
              </w:drawing>
            </w:r>
          </w:p>
        </w:tc>
      </w:tr>
      <w:tr w:rsidR="00FA7B48" w14:paraId="20714227" w14:textId="77777777" w:rsidTr="00487751">
        <w:tc>
          <w:tcPr>
            <w:tcW w:w="4968" w:type="dxa"/>
          </w:tcPr>
          <w:p w14:paraId="0A109F16" w14:textId="219BD552" w:rsidR="00FA7B48" w:rsidRPr="00BD743E" w:rsidRDefault="00FA7B48" w:rsidP="00AD54B3">
            <w:pPr>
              <w:pStyle w:val="Caption"/>
              <w:jc w:val="center"/>
              <w:rPr>
                <w:rFonts w:eastAsia="MS Mincho"/>
                <w:b w:val="0"/>
                <w:noProof/>
              </w:rPr>
            </w:pPr>
            <w:r w:rsidRPr="002F6F73">
              <w:rPr>
                <w:b w:val="0"/>
              </w:rPr>
              <w:t xml:space="preserve">Figure </w:t>
            </w:r>
            <w:r w:rsidRPr="002F6F73">
              <w:rPr>
                <w:b w:val="0"/>
              </w:rPr>
              <w:fldChar w:fldCharType="begin"/>
            </w:r>
            <w:r w:rsidRPr="002F6F73">
              <w:rPr>
                <w:b w:val="0"/>
              </w:rPr>
              <w:instrText xml:space="preserve"> SEQ Figure \* ARABIC </w:instrText>
            </w:r>
            <w:r w:rsidRPr="002F6F73">
              <w:rPr>
                <w:b w:val="0"/>
              </w:rPr>
              <w:fldChar w:fldCharType="separate"/>
            </w:r>
            <w:r w:rsidRPr="002F6F73">
              <w:rPr>
                <w:b w:val="0"/>
                <w:noProof/>
              </w:rPr>
              <w:t>1</w:t>
            </w:r>
            <w:r w:rsidRPr="002F6F73">
              <w:rPr>
                <w:b w:val="0"/>
              </w:rPr>
              <w:fldChar w:fldCharType="end"/>
            </w:r>
            <w:r w:rsidRPr="002F6F73">
              <w:rPr>
                <w:b w:val="0"/>
              </w:rPr>
              <w:t xml:space="preserve"> – EVM calculation error for Method 1, 16QAM modulation, H=I, 3 DMRS symbols/slot, </w:t>
            </w:r>
            <w:r w:rsidRPr="002F6F73">
              <w:rPr>
                <w:b w:val="0"/>
                <w:u w:val="single"/>
              </w:rPr>
              <w:t>non-overlapping</w:t>
            </w:r>
            <w:r w:rsidRPr="002F6F73">
              <w:rPr>
                <w:b w:val="0"/>
              </w:rPr>
              <w:t xml:space="preserve"> DMRS allocation </w:t>
            </w:r>
            <w:r w:rsidR="00772360" w:rsidRPr="002F6F73">
              <w:rPr>
                <w:b w:val="0"/>
              </w:rPr>
              <w:t>[1]</w:t>
            </w:r>
          </w:p>
        </w:tc>
        <w:tc>
          <w:tcPr>
            <w:tcW w:w="5286" w:type="dxa"/>
          </w:tcPr>
          <w:p w14:paraId="3AB3D7F9" w14:textId="77777777" w:rsidR="00FA7B48" w:rsidRPr="00BD743E" w:rsidRDefault="00FA7B48" w:rsidP="00AD54B3">
            <w:pPr>
              <w:pStyle w:val="Caption"/>
              <w:jc w:val="center"/>
              <w:rPr>
                <w:rFonts w:eastAsia="MS Mincho"/>
                <w:b w:val="0"/>
                <w:noProof/>
              </w:rPr>
            </w:pPr>
            <w:r w:rsidRPr="00BD743E">
              <w:rPr>
                <w:b w:val="0"/>
              </w:rPr>
              <w:t xml:space="preserve">Figure </w:t>
            </w:r>
            <w:r w:rsidRPr="00BD743E">
              <w:rPr>
                <w:b w:val="0"/>
              </w:rPr>
              <w:fldChar w:fldCharType="begin"/>
            </w:r>
            <w:r w:rsidRPr="00BD743E">
              <w:rPr>
                <w:b w:val="0"/>
              </w:rPr>
              <w:instrText xml:space="preserve"> SEQ Figure \* ARABIC </w:instrText>
            </w:r>
            <w:r w:rsidRPr="00BD743E">
              <w:rPr>
                <w:b w:val="0"/>
              </w:rPr>
              <w:fldChar w:fldCharType="separate"/>
            </w:r>
            <w:r>
              <w:rPr>
                <w:b w:val="0"/>
                <w:noProof/>
              </w:rPr>
              <w:t>2</w:t>
            </w:r>
            <w:r w:rsidRPr="00BD743E">
              <w:rPr>
                <w:b w:val="0"/>
              </w:rPr>
              <w:fldChar w:fldCharType="end"/>
            </w:r>
            <w:r w:rsidRPr="00BD743E">
              <w:rPr>
                <w:b w:val="0"/>
              </w:rPr>
              <w:t xml:space="preserve"> – EVM calculation error for Method 1,</w:t>
            </w:r>
            <w:r>
              <w:rPr>
                <w:b w:val="0"/>
              </w:rPr>
              <w:t xml:space="preserve"> </w:t>
            </w:r>
            <w:r w:rsidRPr="00BD743E">
              <w:rPr>
                <w:b w:val="0"/>
              </w:rPr>
              <w:t>QPSK modulation</w:t>
            </w:r>
            <w:r>
              <w:rPr>
                <w:b w:val="0"/>
              </w:rPr>
              <w:t xml:space="preserve">, H=rotation, </w:t>
            </w:r>
            <w:r w:rsidRPr="00BD743E">
              <w:rPr>
                <w:b w:val="0"/>
              </w:rPr>
              <w:t xml:space="preserve">3 DMRS symbols/slot, </w:t>
            </w:r>
            <w:r w:rsidRPr="00BD743E">
              <w:rPr>
                <w:b w:val="0"/>
                <w:u w:val="single"/>
              </w:rPr>
              <w:t>overlapping</w:t>
            </w:r>
            <w:r w:rsidRPr="00BD743E">
              <w:rPr>
                <w:b w:val="0"/>
              </w:rPr>
              <w:t xml:space="preserve"> DMRS allocation</w:t>
            </w:r>
          </w:p>
        </w:tc>
      </w:tr>
    </w:tbl>
    <w:p w14:paraId="328F739B" w14:textId="6D348B38" w:rsidR="00FA7B48" w:rsidRDefault="00FA7B48" w:rsidP="00954DD1">
      <w:pPr>
        <w:spacing w:before="120" w:after="120"/>
        <w:ind w:firstLine="284"/>
        <w:jc w:val="both"/>
        <w:rPr>
          <w:rFonts w:eastAsia="MS Mincho"/>
        </w:rPr>
      </w:pPr>
    </w:p>
    <w:p w14:paraId="13CDD769" w14:textId="5ACD988E" w:rsidR="00DE3F8D" w:rsidRDefault="00DE3F8D" w:rsidP="00954DD1">
      <w:pPr>
        <w:spacing w:before="120" w:after="120"/>
        <w:ind w:firstLine="284"/>
        <w:jc w:val="both"/>
        <w:rPr>
          <w:rFonts w:eastAsia="MS Mincho"/>
        </w:rPr>
      </w:pPr>
    </w:p>
    <w:p w14:paraId="1C626F62" w14:textId="0757B661" w:rsidR="00DE3F8D" w:rsidRDefault="00DE3F8D" w:rsidP="00954DD1">
      <w:pPr>
        <w:spacing w:before="120" w:after="120"/>
        <w:ind w:firstLine="284"/>
        <w:jc w:val="both"/>
        <w:rPr>
          <w:rFonts w:eastAsia="MS Mincho"/>
        </w:rPr>
      </w:pPr>
    </w:p>
    <w:p w14:paraId="5124EE24" w14:textId="61243240" w:rsidR="00DE3F8D" w:rsidRPr="002F6F73" w:rsidRDefault="00DE3F8D" w:rsidP="00DE3F8D">
      <w:pPr>
        <w:spacing w:before="120" w:after="120"/>
        <w:ind w:firstLine="284"/>
        <w:jc w:val="both"/>
        <w:rPr>
          <w:rFonts w:eastAsia="MS Mincho"/>
        </w:rPr>
      </w:pPr>
      <w:r w:rsidRPr="002F6F73">
        <w:rPr>
          <w:rFonts w:eastAsia="MS Mincho"/>
        </w:rPr>
        <w:lastRenderedPageBreak/>
        <w:t xml:space="preserve">Figure 3 below shows simulations for the 256QAM modulation (used in FR1), the over-estimation is quite high at low SNR but is </w:t>
      </w:r>
      <w:r w:rsidR="002A2CE7" w:rsidRPr="002F6F73">
        <w:rPr>
          <w:rFonts w:eastAsia="MS Mincho"/>
        </w:rPr>
        <w:t xml:space="preserve">totally </w:t>
      </w:r>
      <w:r w:rsidRPr="002F6F73">
        <w:rPr>
          <w:rFonts w:eastAsia="MS Mincho"/>
        </w:rPr>
        <w:t>fine</w:t>
      </w:r>
      <w:r w:rsidR="002A2CE7" w:rsidRPr="002F6F73">
        <w:rPr>
          <w:rFonts w:eastAsia="MS Mincho"/>
        </w:rPr>
        <w:t xml:space="preserve"> at moderate and high SNR</w:t>
      </w:r>
      <w:r w:rsidRPr="002F6F73">
        <w:rPr>
          <w:rFonts w:eastAsia="MS Mincho"/>
        </w:rPr>
        <w:t xml:space="preserve">, the FR1 </w:t>
      </w:r>
      <w:r w:rsidR="002A2CE7" w:rsidRPr="002F6F73">
        <w:rPr>
          <w:rFonts w:eastAsia="MS Mincho"/>
        </w:rPr>
        <w:t xml:space="preserve">EVM </w:t>
      </w:r>
      <w:r w:rsidRPr="002F6F73">
        <w:rPr>
          <w:rFonts w:eastAsia="MS Mincho"/>
        </w:rPr>
        <w:t>spec</w:t>
      </w:r>
      <w:r w:rsidR="002A2CE7" w:rsidRPr="002F6F73">
        <w:rPr>
          <w:rFonts w:eastAsia="MS Mincho"/>
        </w:rPr>
        <w:t>ification</w:t>
      </w:r>
      <w:r w:rsidR="002F6F73" w:rsidRPr="002F6F73">
        <w:rPr>
          <w:rFonts w:eastAsia="MS Mincho"/>
        </w:rPr>
        <w:t xml:space="preserve"> [5]</w:t>
      </w:r>
      <w:r w:rsidR="002A2CE7" w:rsidRPr="002F6F73">
        <w:rPr>
          <w:rFonts w:eastAsia="MS Mincho"/>
        </w:rPr>
        <w:t xml:space="preserve"> being</w:t>
      </w:r>
      <w:r w:rsidRPr="002F6F73">
        <w:rPr>
          <w:rFonts w:eastAsia="MS Mincho"/>
        </w:rPr>
        <w:t xml:space="preserve"> 3.5% EVM (~29.1dB SNR)</w:t>
      </w:r>
      <w:r w:rsidR="002A2CE7" w:rsidRPr="002F6F73">
        <w:rPr>
          <w:rFonts w:eastAsia="MS Mincho"/>
        </w:rPr>
        <w:t>,</w:t>
      </w:r>
      <w:r w:rsidRPr="002F6F73">
        <w:rPr>
          <w:rFonts w:eastAsia="MS Mincho"/>
        </w:rPr>
        <w:t xml:space="preserve"> it seems </w:t>
      </w:r>
      <w:r w:rsidR="002A2CE7" w:rsidRPr="002F6F73">
        <w:rPr>
          <w:rFonts w:eastAsia="MS Mincho"/>
        </w:rPr>
        <w:t xml:space="preserve">totally </w:t>
      </w:r>
      <w:r w:rsidRPr="002F6F73">
        <w:rPr>
          <w:rFonts w:eastAsia="MS Mincho"/>
        </w:rPr>
        <w:t>fine for conformance testing.</w:t>
      </w:r>
    </w:p>
    <w:p w14:paraId="4AFC6E6B" w14:textId="77777777" w:rsidR="00DE3F8D" w:rsidRDefault="00DE3F8D" w:rsidP="00954DD1">
      <w:pPr>
        <w:spacing w:before="120" w:after="120"/>
        <w:ind w:firstLine="284"/>
        <w:jc w:val="both"/>
        <w:rPr>
          <w:rFonts w:eastAsia="MS Mincho"/>
        </w:rPr>
      </w:pPr>
    </w:p>
    <w:tbl>
      <w:tblPr>
        <w:tblStyle w:val="TableGrid"/>
        <w:tblW w:w="49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tblGrid>
      <w:tr w:rsidR="00BE44A8" w14:paraId="25450793" w14:textId="77777777" w:rsidTr="00487751">
        <w:trPr>
          <w:jc w:val="center"/>
        </w:trPr>
        <w:tc>
          <w:tcPr>
            <w:tcW w:w="4957" w:type="dxa"/>
          </w:tcPr>
          <w:p w14:paraId="6998C832" w14:textId="2A5DF195" w:rsidR="00BE44A8" w:rsidRDefault="00BE44A8" w:rsidP="00614F0B">
            <w:pPr>
              <w:spacing w:before="120" w:after="120"/>
              <w:jc w:val="center"/>
              <w:rPr>
                <w:rFonts w:eastAsia="MS Mincho"/>
              </w:rPr>
            </w:pPr>
            <w:r>
              <w:rPr>
                <w:rFonts w:eastAsia="MS Mincho"/>
                <w:noProof/>
                <w:color w:val="00B050"/>
              </w:rPr>
              <w:drawing>
                <wp:inline distT="0" distB="0" distL="0" distR="0" wp14:anchorId="7109B99E" wp14:editId="60AF6C57">
                  <wp:extent cx="2790000" cy="182160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0000" cy="1821600"/>
                          </a:xfrm>
                          <a:prstGeom prst="rect">
                            <a:avLst/>
                          </a:prstGeom>
                          <a:noFill/>
                        </pic:spPr>
                      </pic:pic>
                    </a:graphicData>
                  </a:graphic>
                </wp:inline>
              </w:drawing>
            </w:r>
          </w:p>
        </w:tc>
      </w:tr>
      <w:tr w:rsidR="00BE44A8" w:rsidRPr="00BD743E" w14:paraId="1189119E" w14:textId="77777777" w:rsidTr="00487751">
        <w:trPr>
          <w:jc w:val="center"/>
        </w:trPr>
        <w:tc>
          <w:tcPr>
            <w:tcW w:w="4957" w:type="dxa"/>
          </w:tcPr>
          <w:p w14:paraId="64404AF9" w14:textId="56581C55" w:rsidR="00BE44A8" w:rsidRPr="00BD743E" w:rsidRDefault="00BE44A8" w:rsidP="00AD54B3">
            <w:pPr>
              <w:pStyle w:val="Caption"/>
              <w:jc w:val="center"/>
              <w:rPr>
                <w:rFonts w:eastAsia="MS Mincho"/>
                <w:b w:val="0"/>
                <w:noProof/>
              </w:rPr>
            </w:pPr>
            <w:r w:rsidRPr="002F6F73">
              <w:rPr>
                <w:b w:val="0"/>
              </w:rPr>
              <w:t xml:space="preserve">Figure </w:t>
            </w:r>
            <w:r w:rsidRPr="002F6F73">
              <w:rPr>
                <w:b w:val="0"/>
              </w:rPr>
              <w:fldChar w:fldCharType="begin"/>
            </w:r>
            <w:r w:rsidRPr="002F6F73">
              <w:rPr>
                <w:b w:val="0"/>
              </w:rPr>
              <w:instrText xml:space="preserve"> SEQ Figure \* ARABIC </w:instrText>
            </w:r>
            <w:r w:rsidRPr="002F6F73">
              <w:rPr>
                <w:b w:val="0"/>
              </w:rPr>
              <w:fldChar w:fldCharType="separate"/>
            </w:r>
            <w:r w:rsidRPr="002F6F73">
              <w:rPr>
                <w:b w:val="0"/>
                <w:noProof/>
              </w:rPr>
              <w:t>3</w:t>
            </w:r>
            <w:r w:rsidRPr="002F6F73">
              <w:rPr>
                <w:b w:val="0"/>
              </w:rPr>
              <w:fldChar w:fldCharType="end"/>
            </w:r>
            <w:r w:rsidRPr="002F6F73">
              <w:rPr>
                <w:b w:val="0"/>
              </w:rPr>
              <w:t xml:space="preserve"> – EVM calculation error for Method 1, 256QAM modulation, H=I and rotation, 3 DMRS symbols/slot, </w:t>
            </w:r>
            <w:r w:rsidRPr="002F6F73">
              <w:rPr>
                <w:b w:val="0"/>
                <w:u w:val="single"/>
              </w:rPr>
              <w:t>overlapping</w:t>
            </w:r>
            <w:r w:rsidRPr="002F6F73">
              <w:rPr>
                <w:b w:val="0"/>
              </w:rPr>
              <w:t xml:space="preserve"> DMRS allocation</w:t>
            </w:r>
            <w:r w:rsidRPr="00BD743E">
              <w:rPr>
                <w:b w:val="0"/>
              </w:rPr>
              <w:t xml:space="preserve"> </w:t>
            </w:r>
          </w:p>
        </w:tc>
      </w:tr>
    </w:tbl>
    <w:p w14:paraId="1EFF5043" w14:textId="77777777" w:rsidR="005C462A" w:rsidRPr="00487751" w:rsidRDefault="005C462A" w:rsidP="003B627B">
      <w:pPr>
        <w:spacing w:before="120" w:after="120"/>
        <w:ind w:firstLine="284"/>
        <w:jc w:val="both"/>
        <w:rPr>
          <w:rFonts w:eastAsia="MS Mincho"/>
        </w:rPr>
      </w:pPr>
    </w:p>
    <w:p w14:paraId="523F8760" w14:textId="54C7E932" w:rsidR="00F52929" w:rsidRPr="00487751" w:rsidRDefault="00F52929" w:rsidP="00954DD1">
      <w:pPr>
        <w:spacing w:before="120" w:after="120"/>
        <w:jc w:val="both"/>
        <w:rPr>
          <w:b/>
        </w:rPr>
      </w:pPr>
      <w:r w:rsidRPr="00487751">
        <w:rPr>
          <w:b/>
          <w:bCs/>
        </w:rPr>
        <w:t>Observation 2</w:t>
      </w:r>
      <w:r w:rsidRPr="00487751">
        <w:rPr>
          <w:b/>
        </w:rPr>
        <w:t xml:space="preserve">: </w:t>
      </w:r>
      <w:r w:rsidR="00FA7B48" w:rsidRPr="00487751">
        <w:rPr>
          <w:b/>
        </w:rPr>
        <w:t>Method 1 can be used with overlapping PUSCH DMRS configuration as specified for UE conformance</w:t>
      </w:r>
      <w:r w:rsidRPr="00487751">
        <w:rPr>
          <w:b/>
        </w:rPr>
        <w:t>.</w:t>
      </w:r>
    </w:p>
    <w:p w14:paraId="7A081654" w14:textId="5B292E6E" w:rsidR="002313A9" w:rsidRPr="00576C4D" w:rsidRDefault="00AA2AC3"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576C4D" w:rsidRDefault="003F060B" w:rsidP="004926AE">
      <w:pPr>
        <w:spacing w:before="120" w:after="120"/>
        <w:ind w:firstLine="284"/>
        <w:jc w:val="both"/>
        <w:rPr>
          <w:rFonts w:eastAsia="MS Mincho"/>
          <w:lang w:val="en-GB"/>
        </w:rPr>
      </w:pPr>
      <w:r w:rsidRPr="003F060B">
        <w:rPr>
          <w:rFonts w:eastAsia="MS Mincho"/>
          <w:lang w:val="en-GB"/>
        </w:rPr>
        <w:t>Based on the discussion above, we propose the following:</w:t>
      </w:r>
    </w:p>
    <w:p w14:paraId="236839D7" w14:textId="77777777" w:rsidR="00BE44A8" w:rsidRPr="0028756C" w:rsidRDefault="00BE44A8" w:rsidP="00BE44A8">
      <w:pPr>
        <w:spacing w:before="120" w:after="120"/>
        <w:jc w:val="both"/>
        <w:rPr>
          <w:b/>
        </w:rPr>
      </w:pPr>
      <w:r w:rsidRPr="0028756C">
        <w:rPr>
          <w:b/>
          <w:bCs/>
        </w:rPr>
        <w:t>Observation 1</w:t>
      </w:r>
      <w:r w:rsidRPr="0028756C">
        <w:rPr>
          <w:b/>
        </w:rPr>
        <w:t xml:space="preserve">: </w:t>
      </w:r>
      <w:r>
        <w:rPr>
          <w:b/>
        </w:rPr>
        <w:t xml:space="preserve">The </w:t>
      </w:r>
      <w:r w:rsidRPr="00FA7B48">
        <w:rPr>
          <w:b/>
        </w:rPr>
        <w:t>simulations using the overlapping PUSCH DMRS configuration as specified for UE conformance</w:t>
      </w:r>
      <w:r>
        <w:rPr>
          <w:b/>
        </w:rPr>
        <w:t xml:space="preserve"> show similar performance as for the non-overlapping case</w:t>
      </w:r>
      <w:r w:rsidRPr="0028756C">
        <w:rPr>
          <w:b/>
        </w:rPr>
        <w:t>.</w:t>
      </w:r>
    </w:p>
    <w:p w14:paraId="648E2A91" w14:textId="386F8C4E" w:rsidR="00BE44A8" w:rsidRDefault="00BE44A8" w:rsidP="00BE44A8">
      <w:pPr>
        <w:spacing w:before="120" w:after="120"/>
        <w:jc w:val="both"/>
        <w:rPr>
          <w:b/>
        </w:rPr>
      </w:pPr>
      <w:r>
        <w:rPr>
          <w:b/>
          <w:bCs/>
        </w:rPr>
        <w:t xml:space="preserve">Observation </w:t>
      </w:r>
      <w:r w:rsidR="002F6F73">
        <w:rPr>
          <w:b/>
          <w:bCs/>
        </w:rPr>
        <w:t>2</w:t>
      </w:r>
      <w:r>
        <w:rPr>
          <w:b/>
        </w:rPr>
        <w:t xml:space="preserve">: Method 1 can be used with </w:t>
      </w:r>
      <w:r w:rsidRPr="00FA7B48">
        <w:rPr>
          <w:b/>
        </w:rPr>
        <w:t>overlapping PUSCH DMRS configuration as specified for UE conformance</w:t>
      </w:r>
      <w:r>
        <w:rPr>
          <w:b/>
        </w:rPr>
        <w:t>.</w:t>
      </w:r>
    </w:p>
    <w:p w14:paraId="2B91508E" w14:textId="00966111" w:rsidR="002A2CE7" w:rsidRDefault="002A2CE7" w:rsidP="00BE44A8">
      <w:pPr>
        <w:spacing w:before="120" w:after="120"/>
        <w:jc w:val="both"/>
        <w:rPr>
          <w:b/>
        </w:rPr>
      </w:pPr>
      <w:r>
        <w:rPr>
          <w:b/>
        </w:rPr>
        <w:t>Proposal: Confirm the use of Method 1 for both FR1 and FR2 under the conditions specified for UE conformance.</w:t>
      </w:r>
    </w:p>
    <w:p w14:paraId="7A08165B" w14:textId="77777777" w:rsidR="00606242" w:rsidRPr="00576C4D" w:rsidRDefault="00AA2AC3"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154C2839" w14:textId="4C6254E4" w:rsidR="004077E0" w:rsidRPr="002F6F73" w:rsidRDefault="004077E0" w:rsidP="004077E0">
      <w:pPr>
        <w:spacing w:before="120" w:after="120"/>
        <w:jc w:val="both"/>
        <w:rPr>
          <w:rFonts w:eastAsia="MS Mincho"/>
          <w:lang w:val="en-GB"/>
        </w:rPr>
      </w:pPr>
      <w:bookmarkStart w:id="2" w:name="_Hlk83825984"/>
      <w:r w:rsidRPr="002F6F73">
        <w:rPr>
          <w:rFonts w:eastAsia="MS Mincho"/>
          <w:lang w:val="en-GB"/>
        </w:rPr>
        <w:t>[1]</w:t>
      </w:r>
      <w:r w:rsidRPr="002F6F73">
        <w:rPr>
          <w:rFonts w:eastAsia="MS Mincho"/>
          <w:lang w:val="en-GB"/>
        </w:rPr>
        <w:tab/>
        <w:t xml:space="preserve">R4-2111902, </w:t>
      </w:r>
      <w:r w:rsidR="002F1B36" w:rsidRPr="002F6F73">
        <w:rPr>
          <w:rFonts w:eastAsia="MS Mincho"/>
          <w:lang w:val="en-GB"/>
        </w:rPr>
        <w:t>“</w:t>
      </w:r>
      <w:r w:rsidRPr="002F6F73">
        <w:rPr>
          <w:rFonts w:eastAsia="MS Mincho"/>
          <w:lang w:val="en-GB"/>
        </w:rPr>
        <w:t>Comparison of TSQ measurement methods for TE with dual pol Rx</w:t>
      </w:r>
      <w:r w:rsidR="002F1B36" w:rsidRPr="002F6F73">
        <w:rPr>
          <w:rFonts w:eastAsia="MS Mincho"/>
          <w:lang w:val="en-GB"/>
        </w:rPr>
        <w:t>”</w:t>
      </w:r>
      <w:r w:rsidRPr="002F6F73">
        <w:rPr>
          <w:rFonts w:eastAsia="MS Mincho"/>
          <w:lang w:val="en-GB"/>
        </w:rPr>
        <w:t>, Qualcomm Incorporated, RAN WG4 #100-e, August 2021</w:t>
      </w:r>
    </w:p>
    <w:p w14:paraId="09E72802" w14:textId="38598C68" w:rsidR="002F1B36" w:rsidRPr="002F6F73" w:rsidRDefault="002F1B36" w:rsidP="002F1B36">
      <w:pPr>
        <w:spacing w:before="120" w:after="120"/>
        <w:rPr>
          <w:rFonts w:eastAsia="MS Mincho"/>
          <w:lang w:val="en-GB"/>
        </w:rPr>
      </w:pPr>
      <w:r w:rsidRPr="002F6F73">
        <w:rPr>
          <w:rFonts w:eastAsia="MS Mincho"/>
          <w:lang w:val="en-GB"/>
        </w:rPr>
        <w:t>[</w:t>
      </w:r>
      <w:r w:rsidR="00311ADA" w:rsidRPr="002F6F73">
        <w:rPr>
          <w:rFonts w:eastAsia="MS Mincho"/>
          <w:lang w:val="en-GB"/>
        </w:rPr>
        <w:t>2</w:t>
      </w:r>
      <w:r w:rsidRPr="002F6F73">
        <w:rPr>
          <w:rFonts w:eastAsia="MS Mincho"/>
          <w:lang w:val="en-GB"/>
        </w:rPr>
        <w:t>] 38-508-1, “User Equipment (UE) conformance specification; Part 1: Common test environment”, version 1</w:t>
      </w:r>
      <w:r w:rsidR="00C1011E" w:rsidRPr="002F6F73">
        <w:rPr>
          <w:rFonts w:eastAsia="MS Mincho"/>
          <w:lang w:val="en-GB"/>
        </w:rPr>
        <w:t>7</w:t>
      </w:r>
      <w:r w:rsidRPr="002F6F73">
        <w:rPr>
          <w:rFonts w:eastAsia="MS Mincho"/>
          <w:lang w:val="en-GB"/>
        </w:rPr>
        <w:t>.</w:t>
      </w:r>
      <w:r w:rsidR="00C1011E" w:rsidRPr="002F6F73">
        <w:rPr>
          <w:rFonts w:eastAsia="MS Mincho"/>
          <w:lang w:val="en-GB"/>
        </w:rPr>
        <w:t>1</w:t>
      </w:r>
      <w:r w:rsidRPr="002F6F73">
        <w:rPr>
          <w:rFonts w:eastAsia="MS Mincho"/>
          <w:lang w:val="en-GB"/>
        </w:rPr>
        <w:t>.</w:t>
      </w:r>
      <w:r w:rsidR="00C1011E" w:rsidRPr="002F6F73">
        <w:rPr>
          <w:rFonts w:eastAsia="MS Mincho"/>
          <w:lang w:val="en-GB"/>
        </w:rPr>
        <w:t>0</w:t>
      </w:r>
    </w:p>
    <w:p w14:paraId="4183641F" w14:textId="0C3E9738" w:rsidR="00C1011E" w:rsidRPr="002F6F73" w:rsidRDefault="00C1011E" w:rsidP="00C1011E">
      <w:pPr>
        <w:spacing w:before="120" w:after="120"/>
        <w:rPr>
          <w:rFonts w:eastAsia="MS Mincho"/>
          <w:lang w:val="en-GB"/>
        </w:rPr>
      </w:pPr>
      <w:r w:rsidRPr="002F6F73">
        <w:rPr>
          <w:rFonts w:eastAsia="MS Mincho"/>
          <w:lang w:val="en-GB"/>
        </w:rPr>
        <w:t>[</w:t>
      </w:r>
      <w:r w:rsidR="00311ADA" w:rsidRPr="002F6F73">
        <w:rPr>
          <w:rFonts w:eastAsia="MS Mincho"/>
          <w:lang w:val="en-GB"/>
        </w:rPr>
        <w:t>3</w:t>
      </w:r>
      <w:r w:rsidRPr="002F6F73">
        <w:rPr>
          <w:rFonts w:eastAsia="MS Mincho"/>
          <w:lang w:val="en-GB"/>
        </w:rPr>
        <w:t>] 38.212, “NR; Multiplexing and channel coding”, version 16.7.0</w:t>
      </w:r>
    </w:p>
    <w:p w14:paraId="60735BAA" w14:textId="129FA3EB" w:rsidR="004A0D50" w:rsidRPr="002F6F73" w:rsidRDefault="004A0D50" w:rsidP="004A0D50">
      <w:pPr>
        <w:spacing w:before="120" w:after="120"/>
        <w:rPr>
          <w:rFonts w:eastAsia="MS Mincho"/>
          <w:lang w:val="en-GB"/>
        </w:rPr>
      </w:pPr>
      <w:r w:rsidRPr="002F6F73">
        <w:rPr>
          <w:rFonts w:eastAsia="MS Mincho"/>
          <w:lang w:val="en-GB"/>
        </w:rPr>
        <w:t>[4] 38.21</w:t>
      </w:r>
      <w:r w:rsidR="00AC45CA" w:rsidRPr="002F6F73">
        <w:rPr>
          <w:rFonts w:eastAsia="MS Mincho"/>
          <w:lang w:val="en-GB"/>
        </w:rPr>
        <w:t>1</w:t>
      </w:r>
      <w:r w:rsidRPr="002F6F73">
        <w:rPr>
          <w:rFonts w:eastAsia="MS Mincho"/>
          <w:lang w:val="en-GB"/>
        </w:rPr>
        <w:t>, “</w:t>
      </w:r>
      <w:r w:rsidR="00AC45CA" w:rsidRPr="002F6F73">
        <w:rPr>
          <w:rFonts w:eastAsia="MS Mincho"/>
          <w:lang w:val="en-GB"/>
        </w:rPr>
        <w:t>NR; Physical channels and modulation</w:t>
      </w:r>
      <w:r w:rsidRPr="002F6F73">
        <w:rPr>
          <w:rFonts w:eastAsia="MS Mincho"/>
          <w:lang w:val="en-GB"/>
        </w:rPr>
        <w:t>”, version 16.7.0</w:t>
      </w:r>
    </w:p>
    <w:p w14:paraId="556A7998" w14:textId="71A671DD" w:rsidR="007E2A63" w:rsidRPr="002F6F73" w:rsidRDefault="007E2A63" w:rsidP="007E2A63">
      <w:pPr>
        <w:spacing w:before="120" w:after="120"/>
        <w:rPr>
          <w:rFonts w:eastAsia="MS Mincho"/>
          <w:lang w:val="en-GB"/>
        </w:rPr>
      </w:pPr>
      <w:r w:rsidRPr="002F6F73">
        <w:rPr>
          <w:rFonts w:eastAsia="MS Mincho"/>
          <w:lang w:val="en-GB"/>
        </w:rPr>
        <w:t>[</w:t>
      </w:r>
      <w:r w:rsidR="004A0D50" w:rsidRPr="002F6F73">
        <w:rPr>
          <w:rFonts w:eastAsia="MS Mincho"/>
          <w:lang w:val="en-GB"/>
        </w:rPr>
        <w:t>5</w:t>
      </w:r>
      <w:r w:rsidRPr="002F6F73">
        <w:rPr>
          <w:rFonts w:eastAsia="MS Mincho"/>
          <w:lang w:val="en-GB"/>
        </w:rPr>
        <w:t>] 38-101-</w:t>
      </w:r>
      <w:r w:rsidR="002F6F73" w:rsidRPr="002F6F73">
        <w:rPr>
          <w:rFonts w:eastAsia="MS Mincho"/>
          <w:lang w:val="en-GB"/>
        </w:rPr>
        <w:t>1</w:t>
      </w:r>
      <w:r w:rsidRPr="002F6F73">
        <w:rPr>
          <w:rFonts w:eastAsia="MS Mincho"/>
          <w:lang w:val="en-GB"/>
        </w:rPr>
        <w:t xml:space="preserve">, “User Equipment (UE) radio transmission and reception; Part </w:t>
      </w:r>
      <w:r w:rsidR="002F6F73" w:rsidRPr="002F6F73">
        <w:rPr>
          <w:rFonts w:eastAsia="MS Mincho"/>
          <w:lang w:val="en-GB"/>
        </w:rPr>
        <w:t>1</w:t>
      </w:r>
      <w:r w:rsidRPr="002F6F73">
        <w:rPr>
          <w:rFonts w:eastAsia="MS Mincho"/>
          <w:lang w:val="en-GB"/>
        </w:rPr>
        <w:t xml:space="preserve">: Range </w:t>
      </w:r>
      <w:r w:rsidR="002F6F73" w:rsidRPr="002F6F73">
        <w:rPr>
          <w:rFonts w:eastAsia="MS Mincho"/>
          <w:lang w:val="en-GB"/>
        </w:rPr>
        <w:t>1</w:t>
      </w:r>
      <w:r w:rsidRPr="002F6F73">
        <w:rPr>
          <w:rFonts w:eastAsia="MS Mincho"/>
          <w:lang w:val="en-GB"/>
        </w:rPr>
        <w:t xml:space="preserve"> Standalone”, version 17.</w:t>
      </w:r>
      <w:r w:rsidR="002F6F73" w:rsidRPr="002F6F73">
        <w:rPr>
          <w:rFonts w:eastAsia="MS Mincho"/>
          <w:lang w:val="en-GB"/>
        </w:rPr>
        <w:t>3</w:t>
      </w:r>
      <w:r w:rsidRPr="002F6F73">
        <w:rPr>
          <w:rFonts w:eastAsia="MS Mincho"/>
          <w:lang w:val="en-GB"/>
        </w:rPr>
        <w:t>.0</w:t>
      </w:r>
    </w:p>
    <w:bookmarkEnd w:id="2"/>
    <w:sectPr w:rsidR="007E2A63" w:rsidRPr="002F6F73">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D2D86" w14:textId="77777777" w:rsidR="000747CC" w:rsidRDefault="000747CC" w:rsidP="00920DEF">
      <w:pPr>
        <w:spacing w:before="120" w:after="120"/>
      </w:pPr>
      <w:r>
        <w:separator/>
      </w:r>
    </w:p>
  </w:endnote>
  <w:endnote w:type="continuationSeparator" w:id="0">
    <w:p w14:paraId="4DB21AF8" w14:textId="77777777" w:rsidR="000747CC" w:rsidRDefault="000747C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E34E4" w14:textId="77777777" w:rsidR="000747CC" w:rsidRDefault="000747CC" w:rsidP="00675E3F">
      <w:pPr>
        <w:spacing w:before="120" w:after="120"/>
      </w:pPr>
      <w:r>
        <w:separator/>
      </w:r>
    </w:p>
  </w:footnote>
  <w:footnote w:type="continuationSeparator" w:id="0">
    <w:p w14:paraId="1A999AB3" w14:textId="77777777" w:rsidR="000747CC" w:rsidRDefault="000747C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8383801"/>
    <w:multiLevelType w:val="hybridMultilevel"/>
    <w:tmpl w:val="9BB6456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6" w15:restartNumberingAfterBreak="0">
    <w:nsid w:val="4D9E76A3"/>
    <w:multiLevelType w:val="hybridMultilevel"/>
    <w:tmpl w:val="482E8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5BF3AC6"/>
    <w:multiLevelType w:val="hybridMultilevel"/>
    <w:tmpl w:val="0CCAF50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835C67"/>
    <w:multiLevelType w:val="hybridMultilevel"/>
    <w:tmpl w:val="9AE0299A"/>
    <w:lvl w:ilvl="0" w:tplc="40123E82">
      <w:start w:val="1"/>
      <w:numFmt w:val="decimal"/>
      <w:lvlText w:val="%1."/>
      <w:lvlJc w:val="left"/>
      <w:pPr>
        <w:ind w:left="720" w:hanging="360"/>
      </w:pPr>
      <w:rPr>
        <w:rFonts w:ascii="Arial" w:hAnsi="Arial" w:cs="Times New Roman" w:hint="default"/>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9"/>
  </w:num>
  <w:num w:numId="6">
    <w:abstractNumId w:val="2"/>
  </w:num>
  <w:num w:numId="7">
    <w:abstractNumId w:val="13"/>
  </w:num>
  <w:num w:numId="8">
    <w:abstractNumId w:val="20"/>
  </w:num>
  <w:num w:numId="9">
    <w:abstractNumId w:val="10"/>
  </w:num>
  <w:num w:numId="10">
    <w:abstractNumId w:val="14"/>
  </w:num>
  <w:num w:numId="11">
    <w:abstractNumId w:val="25"/>
  </w:num>
  <w:num w:numId="12">
    <w:abstractNumId w:val="23"/>
  </w:num>
  <w:num w:numId="13">
    <w:abstractNumId w:val="6"/>
  </w:num>
  <w:num w:numId="14">
    <w:abstractNumId w:val="7"/>
  </w:num>
  <w:num w:numId="15">
    <w:abstractNumId w:val="1"/>
  </w:num>
  <w:num w:numId="16">
    <w:abstractNumId w:val="8"/>
  </w:num>
  <w:num w:numId="17">
    <w:abstractNumId w:val="11"/>
  </w:num>
  <w:num w:numId="18">
    <w:abstractNumId w:val="12"/>
  </w:num>
  <w:num w:numId="19">
    <w:abstractNumId w:val="5"/>
  </w:num>
  <w:num w:numId="20">
    <w:abstractNumId w:val="24"/>
  </w:num>
  <w:num w:numId="21">
    <w:abstractNumId w:val="21"/>
  </w:num>
  <w:num w:numId="22">
    <w:abstractNumId w:val="15"/>
  </w:num>
  <w:num w:numId="23">
    <w:abstractNumId w:val="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
  </w:num>
  <w:num w:numId="2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A"/>
    <w:rsid w:val="000252A8"/>
    <w:rsid w:val="00025316"/>
    <w:rsid w:val="00025B63"/>
    <w:rsid w:val="00027172"/>
    <w:rsid w:val="00027A2E"/>
    <w:rsid w:val="00027BDF"/>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7CC"/>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AB4"/>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AE6"/>
    <w:rsid w:val="000B7C8C"/>
    <w:rsid w:val="000B7E31"/>
    <w:rsid w:val="000C074E"/>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E7E"/>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9CA"/>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F3A"/>
    <w:rsid w:val="001315A4"/>
    <w:rsid w:val="00131B6F"/>
    <w:rsid w:val="00131C05"/>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67F"/>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1AE2"/>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94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C5"/>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676C0"/>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56C"/>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2458"/>
    <w:rsid w:val="002A2CE7"/>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B29"/>
    <w:rsid w:val="002A7D8A"/>
    <w:rsid w:val="002A7FFD"/>
    <w:rsid w:val="002B098C"/>
    <w:rsid w:val="002B0A59"/>
    <w:rsid w:val="002B0D55"/>
    <w:rsid w:val="002B19A9"/>
    <w:rsid w:val="002B19E3"/>
    <w:rsid w:val="002B20CD"/>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1E69"/>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594"/>
    <w:rsid w:val="002F19C8"/>
    <w:rsid w:val="002F1B36"/>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6F73"/>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ADA"/>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705"/>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0797"/>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0CA"/>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27B"/>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7E0"/>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946"/>
    <w:rsid w:val="00432C61"/>
    <w:rsid w:val="0043307A"/>
    <w:rsid w:val="0043346D"/>
    <w:rsid w:val="00433503"/>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8EB"/>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0E7E"/>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897"/>
    <w:rsid w:val="00482FA7"/>
    <w:rsid w:val="00482FAA"/>
    <w:rsid w:val="0048342E"/>
    <w:rsid w:val="004837A3"/>
    <w:rsid w:val="00483935"/>
    <w:rsid w:val="00484B79"/>
    <w:rsid w:val="00484C1C"/>
    <w:rsid w:val="00485803"/>
    <w:rsid w:val="004867E0"/>
    <w:rsid w:val="00486DE4"/>
    <w:rsid w:val="0048707E"/>
    <w:rsid w:val="004870EF"/>
    <w:rsid w:val="004873EF"/>
    <w:rsid w:val="00487751"/>
    <w:rsid w:val="004878A8"/>
    <w:rsid w:val="00487AF3"/>
    <w:rsid w:val="00487E97"/>
    <w:rsid w:val="00490256"/>
    <w:rsid w:val="004903C6"/>
    <w:rsid w:val="004908FA"/>
    <w:rsid w:val="00490A13"/>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0D50"/>
    <w:rsid w:val="004A11BA"/>
    <w:rsid w:val="004A12A5"/>
    <w:rsid w:val="004A14B2"/>
    <w:rsid w:val="004A151D"/>
    <w:rsid w:val="004A2347"/>
    <w:rsid w:val="004A2360"/>
    <w:rsid w:val="004A245D"/>
    <w:rsid w:val="004A27DA"/>
    <w:rsid w:val="004A283E"/>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5C54"/>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29F"/>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6A4"/>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CFE"/>
    <w:rsid w:val="00590D1B"/>
    <w:rsid w:val="005918BD"/>
    <w:rsid w:val="0059192B"/>
    <w:rsid w:val="00591E8A"/>
    <w:rsid w:val="00591F16"/>
    <w:rsid w:val="0059227D"/>
    <w:rsid w:val="005928F2"/>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6DE"/>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62A"/>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2EC6"/>
    <w:rsid w:val="00613388"/>
    <w:rsid w:val="00613583"/>
    <w:rsid w:val="0061478A"/>
    <w:rsid w:val="00614C29"/>
    <w:rsid w:val="00614DAB"/>
    <w:rsid w:val="00614E45"/>
    <w:rsid w:val="00614F0B"/>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4EB"/>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67B2"/>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2D"/>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898"/>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1C84"/>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5EF1"/>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D57"/>
    <w:rsid w:val="00727F29"/>
    <w:rsid w:val="00730076"/>
    <w:rsid w:val="007307B8"/>
    <w:rsid w:val="0073097C"/>
    <w:rsid w:val="007314E5"/>
    <w:rsid w:val="0073156F"/>
    <w:rsid w:val="007315FF"/>
    <w:rsid w:val="00731608"/>
    <w:rsid w:val="0073196F"/>
    <w:rsid w:val="0073212A"/>
    <w:rsid w:val="007325EB"/>
    <w:rsid w:val="00732A5E"/>
    <w:rsid w:val="00732EC1"/>
    <w:rsid w:val="00732F6E"/>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360"/>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A70"/>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5E9D"/>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677B"/>
    <w:rsid w:val="007D7613"/>
    <w:rsid w:val="007D7DB2"/>
    <w:rsid w:val="007D7E66"/>
    <w:rsid w:val="007E052A"/>
    <w:rsid w:val="007E0556"/>
    <w:rsid w:val="007E0C6B"/>
    <w:rsid w:val="007E0D32"/>
    <w:rsid w:val="007E0DAC"/>
    <w:rsid w:val="007E0F9C"/>
    <w:rsid w:val="007E1C93"/>
    <w:rsid w:val="007E2476"/>
    <w:rsid w:val="007E2A63"/>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CED"/>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3C3"/>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610"/>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69B"/>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5F41"/>
    <w:rsid w:val="008B618D"/>
    <w:rsid w:val="008B6288"/>
    <w:rsid w:val="008B635D"/>
    <w:rsid w:val="008B6410"/>
    <w:rsid w:val="008B677F"/>
    <w:rsid w:val="008B67ED"/>
    <w:rsid w:val="008B6D34"/>
    <w:rsid w:val="008B72B1"/>
    <w:rsid w:val="008B76E3"/>
    <w:rsid w:val="008B7C1F"/>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6E6F"/>
    <w:rsid w:val="008D7B62"/>
    <w:rsid w:val="008D7C64"/>
    <w:rsid w:val="008E00FC"/>
    <w:rsid w:val="008E1B62"/>
    <w:rsid w:val="008E2D73"/>
    <w:rsid w:val="008E2D80"/>
    <w:rsid w:val="008E3195"/>
    <w:rsid w:val="008E330B"/>
    <w:rsid w:val="008E3CBA"/>
    <w:rsid w:val="008E4074"/>
    <w:rsid w:val="008E473A"/>
    <w:rsid w:val="008E5344"/>
    <w:rsid w:val="008E55D1"/>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17CF6"/>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6BD"/>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75A"/>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4DD1"/>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AD3"/>
    <w:rsid w:val="00965D6B"/>
    <w:rsid w:val="00965E24"/>
    <w:rsid w:val="00965ECB"/>
    <w:rsid w:val="009667AF"/>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3E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0EC"/>
    <w:rsid w:val="009D041C"/>
    <w:rsid w:val="009D044E"/>
    <w:rsid w:val="009D057D"/>
    <w:rsid w:val="009D0850"/>
    <w:rsid w:val="009D08FF"/>
    <w:rsid w:val="009D0CB2"/>
    <w:rsid w:val="009D10FD"/>
    <w:rsid w:val="009D1463"/>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A45"/>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B16"/>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2B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1DF"/>
    <w:rsid w:val="00A61360"/>
    <w:rsid w:val="00A61373"/>
    <w:rsid w:val="00A613CB"/>
    <w:rsid w:val="00A617D6"/>
    <w:rsid w:val="00A61878"/>
    <w:rsid w:val="00A618C4"/>
    <w:rsid w:val="00A61BE6"/>
    <w:rsid w:val="00A61D35"/>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5C8"/>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1B4"/>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AC3"/>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5CA"/>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E5C"/>
    <w:rsid w:val="00AE037F"/>
    <w:rsid w:val="00AE1B94"/>
    <w:rsid w:val="00AE1DDF"/>
    <w:rsid w:val="00AE21C9"/>
    <w:rsid w:val="00AE2258"/>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4FC2"/>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22D"/>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5B6"/>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1D9C"/>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43E"/>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A8"/>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92A"/>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11E"/>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D4"/>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60E"/>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25"/>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9A4"/>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C2B"/>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1CE"/>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1C00"/>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61A"/>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CC1"/>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16C"/>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0DD"/>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3F8D"/>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5C9C"/>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0ED4"/>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2B7"/>
    <w:rsid w:val="00E54BFF"/>
    <w:rsid w:val="00E55243"/>
    <w:rsid w:val="00E5582D"/>
    <w:rsid w:val="00E558E6"/>
    <w:rsid w:val="00E55968"/>
    <w:rsid w:val="00E55B6D"/>
    <w:rsid w:val="00E55E28"/>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3"/>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A1A"/>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5948"/>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819"/>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6584"/>
    <w:rsid w:val="00EF77A3"/>
    <w:rsid w:val="00EF78CB"/>
    <w:rsid w:val="00EF7A7F"/>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2929"/>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9E"/>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58B"/>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5F6D"/>
    <w:rsid w:val="00FA6377"/>
    <w:rsid w:val="00FA6972"/>
    <w:rsid w:val="00FA7203"/>
    <w:rsid w:val="00FA7B48"/>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0E5"/>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4DCF"/>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07698509">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24530508">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72137740">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53730705">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580171">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99452421">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02074458">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C9E20-CF03-4FCF-9667-7BA2C83F09FD}">
  <ds:schemaRefs>
    <ds:schemaRef ds:uri="http://schemas.microsoft.com/office/2006/metadata/properties"/>
    <ds:schemaRef ds:uri="http://schemas.microsoft.com/office/2006/documentManagement/types"/>
    <ds:schemaRef ds:uri="http://purl.org/dc/dcmitype/"/>
    <ds:schemaRef ds:uri="http://www.w3.org/XML/1998/namespace"/>
    <ds:schemaRef ds:uri="http://purl.org/dc/elements/1.1/"/>
    <ds:schemaRef ds:uri="dba7ae79-5de7-490c-aa90-c6b8685167cf"/>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4.xml><?xml version="1.0" encoding="utf-8"?>
<ds:datastoreItem xmlns:ds="http://schemas.openxmlformats.org/officeDocument/2006/customXml" ds:itemID="{01748952-1C9F-42A7-A0D7-B0070F0D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509</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11</cp:revision>
  <cp:lastPrinted>2007-04-23T23:59:00Z</cp:lastPrinted>
  <dcterms:created xsi:type="dcterms:W3CDTF">2021-10-20T18:42:00Z</dcterms:created>
  <dcterms:modified xsi:type="dcterms:W3CDTF">2021-10-22T11:48:00Z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